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2538"/>
        <w:gridCol w:w="7110"/>
      </w:tblGrid>
      <w:tr w:rsidR="008D010F" w14:paraId="1647778C" w14:textId="77777777" w:rsidTr="00D732DD">
        <w:trPr>
          <w:trHeight w:val="397"/>
        </w:trPr>
        <w:tc>
          <w:tcPr>
            <w:tcW w:w="2538" w:type="dxa"/>
            <w:vAlign w:val="center"/>
          </w:tcPr>
          <w:p w14:paraId="3CD94FE3" w14:textId="77777777" w:rsidR="008D010F" w:rsidRPr="00B95047" w:rsidRDefault="008D010F" w:rsidP="00D732DD">
            <w:pPr>
              <w:rPr>
                <w:b/>
                <w:sz w:val="28"/>
                <w:szCs w:val="28"/>
              </w:rPr>
            </w:pPr>
            <w:r w:rsidRPr="00B95047">
              <w:rPr>
                <w:b/>
                <w:sz w:val="28"/>
                <w:szCs w:val="28"/>
              </w:rPr>
              <w:t>Policy Number:</w:t>
            </w:r>
          </w:p>
        </w:tc>
        <w:tc>
          <w:tcPr>
            <w:tcW w:w="7110" w:type="dxa"/>
            <w:vAlign w:val="center"/>
          </w:tcPr>
          <w:p w14:paraId="77DA8C5B" w14:textId="77777777" w:rsidR="008D010F" w:rsidRPr="00CE653E" w:rsidRDefault="008D010F" w:rsidP="008D010F">
            <w:pPr>
              <w:pStyle w:val="Heading3"/>
            </w:pPr>
            <w:bookmarkStart w:id="0" w:name="_Toc404766535"/>
            <w:r>
              <w:t>Purchasing and Tendering</w:t>
            </w:r>
            <w:bookmarkEnd w:id="0"/>
          </w:p>
        </w:tc>
      </w:tr>
    </w:tbl>
    <w:p w14:paraId="4EC1EC55" w14:textId="77777777" w:rsidR="008D010F" w:rsidRDefault="008D010F" w:rsidP="008D01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5706"/>
      </w:tblGrid>
      <w:tr w:rsidR="008D010F" w:rsidRPr="000A4D4C" w14:paraId="3C108264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009454BF" w14:textId="77777777" w:rsidR="008D010F" w:rsidRPr="000A4D4C" w:rsidRDefault="008D010F" w:rsidP="00D732DD">
            <w:pPr>
              <w:rPr>
                <w:rFonts w:cs="Arial"/>
              </w:rPr>
            </w:pPr>
            <w:r w:rsidRPr="000A4D4C">
              <w:rPr>
                <w:rFonts w:cs="Arial"/>
                <w:b/>
              </w:rPr>
              <w:t>Relevant Statutory / Regulatory Linkages</w:t>
            </w:r>
            <w:r w:rsidRPr="000A4D4C">
              <w:rPr>
                <w:rFonts w:cs="Arial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right w:val="nil"/>
            </w:tcBorders>
            <w:vAlign w:val="bottom"/>
          </w:tcPr>
          <w:p w14:paraId="5583CB06" w14:textId="77777777" w:rsidR="008D010F" w:rsidRPr="00ED5A30" w:rsidRDefault="008D010F" w:rsidP="00D732DD">
            <w:pPr>
              <w:rPr>
                <w:rFonts w:cs="Arial"/>
              </w:rPr>
            </w:pPr>
            <w:r>
              <w:rPr>
                <w:rFonts w:cs="Arial"/>
              </w:rPr>
              <w:t xml:space="preserve">Ontario Broader Public Service Procurement Directive </w:t>
            </w:r>
          </w:p>
        </w:tc>
      </w:tr>
      <w:tr w:rsidR="008D010F" w:rsidRPr="000A4D4C" w14:paraId="4F5A0118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60671A22" w14:textId="77777777" w:rsidR="008D010F" w:rsidRPr="000A4D4C" w:rsidRDefault="008D010F" w:rsidP="00D732DD">
            <w:pPr>
              <w:rPr>
                <w:rFonts w:cs="Arial"/>
              </w:rPr>
            </w:pPr>
          </w:p>
        </w:tc>
        <w:tc>
          <w:tcPr>
            <w:tcW w:w="5706" w:type="dxa"/>
            <w:tcBorders>
              <w:left w:val="nil"/>
              <w:right w:val="nil"/>
            </w:tcBorders>
            <w:vAlign w:val="bottom"/>
          </w:tcPr>
          <w:p w14:paraId="6E626217" w14:textId="77777777" w:rsidR="008D010F" w:rsidRPr="00ED5A30" w:rsidRDefault="008D010F" w:rsidP="00D732DD">
            <w:pPr>
              <w:rPr>
                <w:rFonts w:cs="Arial"/>
              </w:rPr>
            </w:pPr>
            <w:r>
              <w:rPr>
                <w:rFonts w:cs="Arial"/>
              </w:rPr>
              <w:t>Funder Agreements</w:t>
            </w:r>
          </w:p>
        </w:tc>
      </w:tr>
      <w:tr w:rsidR="008D010F" w:rsidRPr="000A4D4C" w14:paraId="2E8D1727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4AE8CF8F" w14:textId="77777777" w:rsidR="008D010F" w:rsidRPr="000A4D4C" w:rsidRDefault="008D010F" w:rsidP="00D732DD">
            <w:pPr>
              <w:rPr>
                <w:rFonts w:cs="Arial"/>
              </w:rPr>
            </w:pPr>
          </w:p>
        </w:tc>
        <w:tc>
          <w:tcPr>
            <w:tcW w:w="5706" w:type="dxa"/>
            <w:tcBorders>
              <w:left w:val="nil"/>
              <w:right w:val="nil"/>
            </w:tcBorders>
            <w:vAlign w:val="bottom"/>
          </w:tcPr>
          <w:p w14:paraId="606F729F" w14:textId="77777777" w:rsidR="008D010F" w:rsidRPr="00ED5A30" w:rsidRDefault="008D010F" w:rsidP="00D732DD">
            <w:pPr>
              <w:rPr>
                <w:rFonts w:cs="Arial"/>
              </w:rPr>
            </w:pPr>
          </w:p>
        </w:tc>
      </w:tr>
      <w:tr w:rsidR="008D010F" w:rsidRPr="005D45F9" w14:paraId="11832078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75BE0164" w14:textId="77777777" w:rsidR="008D010F" w:rsidRPr="000A4D4C" w:rsidRDefault="008D010F" w:rsidP="00D732DD">
            <w:pPr>
              <w:rPr>
                <w:rFonts w:cs="Arial"/>
              </w:rPr>
            </w:pPr>
          </w:p>
        </w:tc>
        <w:tc>
          <w:tcPr>
            <w:tcW w:w="5706" w:type="dxa"/>
            <w:tcBorders>
              <w:left w:val="nil"/>
              <w:bottom w:val="nil"/>
              <w:right w:val="nil"/>
            </w:tcBorders>
            <w:vAlign w:val="bottom"/>
          </w:tcPr>
          <w:p w14:paraId="15484B72" w14:textId="77777777" w:rsidR="008D010F" w:rsidRPr="000A4D4C" w:rsidRDefault="008D010F" w:rsidP="00D732DD">
            <w:pPr>
              <w:rPr>
                <w:rFonts w:cs="Arial"/>
              </w:rPr>
            </w:pPr>
          </w:p>
        </w:tc>
      </w:tr>
    </w:tbl>
    <w:p w14:paraId="6E815D14" w14:textId="77777777" w:rsidR="008D010F" w:rsidRDefault="008D010F" w:rsidP="008D010F">
      <w:pPr>
        <w:rPr>
          <w:rFonts w:cs="Arial"/>
          <w:b/>
        </w:rPr>
      </w:pPr>
    </w:p>
    <w:p w14:paraId="73DCBF06" w14:textId="77777777" w:rsidR="008D010F" w:rsidRDefault="008D010F" w:rsidP="008D010F">
      <w:pPr>
        <w:rPr>
          <w:rFonts w:cs="Arial"/>
          <w:b/>
        </w:rPr>
      </w:pPr>
      <w:r w:rsidRPr="000A4D4C">
        <w:rPr>
          <w:rFonts w:cs="Arial"/>
          <w:b/>
        </w:rPr>
        <w:t>Policy Statement (Intent and Scope)</w:t>
      </w:r>
    </w:p>
    <w:p w14:paraId="769945A2" w14:textId="77777777" w:rsidR="008D010F" w:rsidRDefault="008D010F" w:rsidP="008D010F"/>
    <w:p w14:paraId="71114CD0" w14:textId="5EF7DEA8" w:rsidR="008D010F" w:rsidRDefault="008D010F" w:rsidP="008D010F">
      <w:pPr>
        <w:pStyle w:val="BodyText"/>
      </w:pPr>
      <w:r>
        <w:t xml:space="preserve">Huron-Perth Children’s Aid Society (H-PCAS) procurement and purchasing shall be performed in an open, legal, fair and transparent manner, where goods and services are secured in a competitive environment, and where all transactions yield the optimal benefit to the organization and are in conformity </w:t>
      </w:r>
      <w:r w:rsidR="002C76D1">
        <w:t xml:space="preserve">and compliance </w:t>
      </w:r>
      <w:r>
        <w:t xml:space="preserve">with the Ontario Broader Public Sector Procurement </w:t>
      </w:r>
      <w:r w:rsidRPr="00FB6831">
        <w:t>Directive</w:t>
      </w:r>
      <w:r w:rsidR="00D33A04" w:rsidRPr="00FB6831">
        <w:t xml:space="preserve"> </w:t>
      </w:r>
      <w:r w:rsidR="00D33A04" w:rsidRPr="00FB6831">
        <w:rPr>
          <w:lang w:val="en-GB"/>
        </w:rPr>
        <w:t>and the Ontario Broader Public Sector Supply Chain Code of Ethics.</w:t>
      </w:r>
    </w:p>
    <w:p w14:paraId="663484B8" w14:textId="0001652A" w:rsidR="008D010F" w:rsidRDefault="00041660" w:rsidP="008D010F">
      <w:pPr>
        <w:pStyle w:val="NumberedPoint"/>
        <w:numPr>
          <w:ilvl w:val="0"/>
          <w:numId w:val="5"/>
        </w:numPr>
        <w:spacing w:before="120" w:line="276" w:lineRule="auto"/>
      </w:pPr>
      <w:r>
        <w:t>Authorizations</w:t>
      </w:r>
    </w:p>
    <w:p w14:paraId="7AD2BCA1" w14:textId="4192B556" w:rsidR="008D010F" w:rsidRDefault="008D010F" w:rsidP="008D010F">
      <w:pPr>
        <w:pStyle w:val="NumberedPoint"/>
        <w:numPr>
          <w:ilvl w:val="1"/>
          <w:numId w:val="5"/>
        </w:numPr>
        <w:spacing w:before="120" w:line="276" w:lineRule="auto"/>
      </w:pPr>
      <w:r>
        <w:t>The Executive Director</w:t>
      </w:r>
      <w:r w:rsidR="00CD6798">
        <w:t>/Designate</w:t>
      </w:r>
      <w:r>
        <w:t xml:space="preserve"> </w:t>
      </w:r>
      <w:r w:rsidR="002C76D1">
        <w:t xml:space="preserve">is </w:t>
      </w:r>
      <w:r>
        <w:t>authorize</w:t>
      </w:r>
      <w:r w:rsidR="002C76D1">
        <w:t>d</w:t>
      </w:r>
      <w:r>
        <w:t xml:space="preserve"> </w:t>
      </w:r>
      <w:r w:rsidR="002C76D1">
        <w:t>to pursue</w:t>
      </w:r>
      <w:r>
        <w:t xml:space="preserve"> purchase</w:t>
      </w:r>
      <w:r w:rsidR="002C76D1">
        <w:t>s</w:t>
      </w:r>
      <w:r>
        <w:t xml:space="preserve"> </w:t>
      </w:r>
      <w:r w:rsidR="002C76D1">
        <w:t>within</w:t>
      </w:r>
      <w:r>
        <w:t xml:space="preserve"> the Board approved current year budget.</w:t>
      </w:r>
    </w:p>
    <w:p w14:paraId="019B66ED" w14:textId="6994E94F" w:rsidR="008D010F" w:rsidRDefault="008D010F" w:rsidP="008D010F">
      <w:pPr>
        <w:pStyle w:val="NumberedPoint"/>
        <w:numPr>
          <w:ilvl w:val="1"/>
          <w:numId w:val="5"/>
        </w:numPr>
        <w:spacing w:before="120" w:line="276" w:lineRule="auto"/>
      </w:pPr>
      <w:r>
        <w:t>The Executive Director</w:t>
      </w:r>
      <w:r w:rsidR="00CD6798">
        <w:t>/Designate</w:t>
      </w:r>
      <w:r>
        <w:t xml:space="preserve"> can approve any </w:t>
      </w:r>
      <w:r w:rsidR="00CD6798">
        <w:t xml:space="preserve">annual </w:t>
      </w:r>
      <w:r>
        <w:t>expenditures up to $1</w:t>
      </w:r>
      <w:r w:rsidR="00FD73D8">
        <w:t>2</w:t>
      </w:r>
      <w:r w:rsidR="00AD1DCF">
        <w:t>1,2</w:t>
      </w:r>
      <w:r w:rsidR="002D4D15">
        <w:t>0</w:t>
      </w:r>
      <w:r>
        <w:t>0,000 which will not materially impact the Board approved current year budget</w:t>
      </w:r>
      <w:r w:rsidR="002C76D1">
        <w:t xml:space="preserve"> while ensuring conformity and compliance with established procedure, the Ontario Broader Public Sector Procurement Directive and any other relevant legislation or directive</w:t>
      </w:r>
      <w:r>
        <w:t>.</w:t>
      </w:r>
    </w:p>
    <w:p w14:paraId="41C83E15" w14:textId="10C770AA" w:rsidR="008D010F" w:rsidRDefault="008D010F" w:rsidP="002C76D1">
      <w:pPr>
        <w:pStyle w:val="NumberedPoint"/>
        <w:numPr>
          <w:ilvl w:val="1"/>
          <w:numId w:val="5"/>
        </w:numPr>
        <w:spacing w:before="120" w:line="276" w:lineRule="auto"/>
      </w:pPr>
      <w:r>
        <w:t>Any</w:t>
      </w:r>
      <w:r w:rsidR="002C76D1">
        <w:t xml:space="preserve"> individual</w:t>
      </w:r>
      <w:r>
        <w:t xml:space="preserve"> purchases not included in a Board approved current year budget over $1</w:t>
      </w:r>
      <w:r w:rsidR="00FD73D8">
        <w:t>2</w:t>
      </w:r>
      <w:r w:rsidR="00AD1DCF">
        <w:t>1,2</w:t>
      </w:r>
      <w:r w:rsidR="002D4D15">
        <w:t>0</w:t>
      </w:r>
      <w:r>
        <w:t>0,000 requires Board approval before the expense is incurred</w:t>
      </w:r>
      <w:r w:rsidR="002C76D1" w:rsidRPr="002C76D1">
        <w:t xml:space="preserve"> </w:t>
      </w:r>
      <w:r w:rsidR="002C76D1">
        <w:t>while ensuring conformity and compliance with established procedure, the Ontario Broader Public Sector Procurement Directive and any other rel</w:t>
      </w:r>
      <w:r w:rsidR="00041660">
        <w:t>evant legislation or directive.</w:t>
      </w:r>
    </w:p>
    <w:p w14:paraId="3E310BC3" w14:textId="1D8E01CF" w:rsidR="008D010F" w:rsidRDefault="008D010F" w:rsidP="008D010F">
      <w:pPr>
        <w:pStyle w:val="BodyText"/>
        <w:spacing w:after="0" w:line="276" w:lineRule="auto"/>
        <w:rPr>
          <w:b/>
        </w:rPr>
      </w:pPr>
    </w:p>
    <w:p w14:paraId="7A9D1F16" w14:textId="77777777" w:rsidR="008D010F" w:rsidRDefault="008D010F" w:rsidP="008D010F">
      <w:pPr>
        <w:pStyle w:val="BodyText"/>
        <w:spacing w:after="0" w:line="276" w:lineRule="auto"/>
        <w:rPr>
          <w:b/>
        </w:rPr>
      </w:pPr>
      <w:r w:rsidRPr="00AD4B32">
        <w:rPr>
          <w:b/>
        </w:rPr>
        <w:t>Monitoring Report Requirements (Frequency, Content, etc.)</w:t>
      </w:r>
    </w:p>
    <w:p w14:paraId="78BE9ABB" w14:textId="77777777" w:rsidR="008D010F" w:rsidRDefault="008D010F" w:rsidP="008D010F">
      <w:pPr>
        <w:pStyle w:val="BodyText"/>
        <w:spacing w:after="0" w:line="276" w:lineRule="auto"/>
        <w:rPr>
          <w:b/>
        </w:rPr>
      </w:pPr>
    </w:p>
    <w:p w14:paraId="572F91E3" w14:textId="02ECC039" w:rsidR="00EA418F" w:rsidRDefault="00990A7C">
      <w:r>
        <w:t>The Board may request review of payment registers as deemed necessary.</w:t>
      </w:r>
    </w:p>
    <w:p w14:paraId="57B11E3F" w14:textId="77777777" w:rsidR="00041660" w:rsidRDefault="00041660"/>
    <w:p w14:paraId="6F0F0E0F" w14:textId="77777777" w:rsidR="00041660" w:rsidRDefault="00041660"/>
    <w:p w14:paraId="6499060B" w14:textId="77777777" w:rsidR="00041660" w:rsidRPr="001844F9" w:rsidRDefault="00041660" w:rsidP="00041660">
      <w:pPr>
        <w:rPr>
          <w:b/>
        </w:rPr>
      </w:pPr>
      <w:r w:rsidRPr="001844F9">
        <w:rPr>
          <w:b/>
        </w:rPr>
        <w:t xml:space="preserve">Policy Development History </w:t>
      </w:r>
    </w:p>
    <w:p w14:paraId="5D89B999" w14:textId="77777777" w:rsidR="00041660" w:rsidRDefault="00041660" w:rsidP="00041660"/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4666"/>
      </w:tblGrid>
      <w:tr w:rsidR="00041660" w14:paraId="0EDC009E" w14:textId="77777777" w:rsidTr="00966C3A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07A2081D" w14:textId="77777777" w:rsidR="00041660" w:rsidRDefault="00041660" w:rsidP="00966C3A">
            <w:r>
              <w:t>Original Approval Date: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1DF8BB" w14:textId="77777777" w:rsidR="00041660" w:rsidRDefault="00041660" w:rsidP="00966C3A">
            <w:r>
              <w:t xml:space="preserve">12 / 02 /14  </w:t>
            </w:r>
          </w:p>
        </w:tc>
      </w:tr>
    </w:tbl>
    <w:p w14:paraId="2910696B" w14:textId="77777777" w:rsidR="00041660" w:rsidRDefault="00041660" w:rsidP="00041660"/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672"/>
        <w:gridCol w:w="1854"/>
        <w:gridCol w:w="530"/>
        <w:gridCol w:w="1857"/>
      </w:tblGrid>
      <w:tr w:rsidR="00041660" w14:paraId="1252C9D3" w14:textId="77777777" w:rsidTr="00966C3A">
        <w:trPr>
          <w:trHeight w:val="36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5A8F44D" w14:textId="77777777" w:rsidR="00041660" w:rsidRDefault="00041660" w:rsidP="00966C3A">
            <w:pPr>
              <w:pStyle w:val="Header"/>
            </w:pPr>
            <w:r>
              <w:t xml:space="preserve">Revisions Approval Dates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DB12448" w14:textId="77777777" w:rsidR="00041660" w:rsidRDefault="00041660" w:rsidP="00966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3FC9D72A" w14:textId="77777777" w:rsidR="00041660" w:rsidRDefault="00041660" w:rsidP="00966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mm/dd/yr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D504D96" w14:textId="77777777" w:rsidR="00041660" w:rsidRDefault="00041660" w:rsidP="00966C3A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4CBD397A" w14:textId="77777777" w:rsidR="00041660" w:rsidRDefault="00041660" w:rsidP="00966C3A">
            <w:pPr>
              <w:jc w:val="center"/>
              <w:rPr>
                <w:b/>
                <w:bCs/>
              </w:rPr>
            </w:pPr>
          </w:p>
        </w:tc>
      </w:tr>
      <w:tr w:rsidR="00041660" w14:paraId="249ABFC2" w14:textId="77777777" w:rsidTr="002D4D15">
        <w:trPr>
          <w:trHeight w:val="288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D156897" w14:textId="77777777" w:rsidR="00041660" w:rsidRDefault="00041660" w:rsidP="00966C3A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95A2088" w14:textId="77777777" w:rsidR="00041660" w:rsidRDefault="00041660" w:rsidP="00966C3A">
            <w:pPr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619EB34F" w14:textId="77777777" w:rsidR="00041660" w:rsidRDefault="00041660" w:rsidP="00966C3A">
            <w:r>
              <w:t xml:space="preserve">    11 / 03 /15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51B67E" w14:textId="77777777" w:rsidR="00041660" w:rsidRDefault="00041660" w:rsidP="00966C3A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9D2BC9D" w14:textId="77777777" w:rsidR="00041660" w:rsidRDefault="00041660" w:rsidP="00966C3A"/>
        </w:tc>
      </w:tr>
      <w:tr w:rsidR="00041660" w14:paraId="2C9753F4" w14:textId="77777777" w:rsidTr="002D4D15">
        <w:trPr>
          <w:trHeight w:val="288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FBB3E88" w14:textId="77777777" w:rsidR="00041660" w:rsidRDefault="00041660" w:rsidP="00966C3A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D5AC511" w14:textId="77777777" w:rsidR="00041660" w:rsidRDefault="00041660" w:rsidP="00966C3A">
            <w:pPr>
              <w:jc w:val="center"/>
            </w:pPr>
            <w: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0E46F8F7" w14:textId="74182F62" w:rsidR="00041660" w:rsidRDefault="00041660" w:rsidP="00DB3759">
            <w:r>
              <w:t xml:space="preserve">    </w:t>
            </w:r>
            <w:r w:rsidR="00DB3759">
              <w:t>04</w:t>
            </w:r>
            <w:r>
              <w:t xml:space="preserve"> / </w:t>
            </w:r>
            <w:r w:rsidR="00DB3759">
              <w:t>02</w:t>
            </w:r>
            <w:r>
              <w:t xml:space="preserve"> /</w:t>
            </w:r>
            <w:r w:rsidR="00DB3759"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3C9E2C3" w14:textId="77777777" w:rsidR="00041660" w:rsidRDefault="00041660" w:rsidP="00966C3A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030D342D" w14:textId="77777777" w:rsidR="00041660" w:rsidRDefault="00041660" w:rsidP="00966C3A"/>
        </w:tc>
      </w:tr>
      <w:tr w:rsidR="00041660" w14:paraId="015D3035" w14:textId="77777777" w:rsidTr="002D4D15">
        <w:trPr>
          <w:trHeight w:val="288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47C748F" w14:textId="77777777" w:rsidR="00041660" w:rsidRDefault="00041660" w:rsidP="00966C3A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00554A6" w14:textId="77777777" w:rsidR="00041660" w:rsidRDefault="00041660" w:rsidP="00966C3A">
            <w:pPr>
              <w:jc w:val="center"/>
            </w:pPr>
            <w:r>
              <w:t>3</w:t>
            </w:r>
          </w:p>
          <w:p w14:paraId="75907646" w14:textId="078D20B3" w:rsidR="002D4D15" w:rsidRDefault="002D4D15" w:rsidP="00966C3A">
            <w:pPr>
              <w:jc w:val="center"/>
            </w:pPr>
            <w: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571E19E5" w14:textId="77777777" w:rsidR="00041660" w:rsidRDefault="00041660" w:rsidP="00966C3A">
            <w:r>
              <w:t xml:space="preserve">    </w:t>
            </w:r>
            <w:r w:rsidR="00FB6831">
              <w:t>03</w:t>
            </w:r>
            <w:r>
              <w:t xml:space="preserve"> /</w:t>
            </w:r>
            <w:r w:rsidR="00FB6831">
              <w:t>01</w:t>
            </w:r>
            <w:r>
              <w:t>/</w:t>
            </w:r>
            <w:r w:rsidR="00FB6831">
              <w:t>22</w:t>
            </w:r>
          </w:p>
          <w:p w14:paraId="421663F3" w14:textId="21C760B8" w:rsidR="002D4D15" w:rsidRDefault="002D4D15" w:rsidP="00966C3A">
            <w:r>
              <w:t xml:space="preserve">    06</w:t>
            </w:r>
            <w:r w:rsidR="00512060">
              <w:t>/</w:t>
            </w:r>
            <w:r>
              <w:t>03</w:t>
            </w:r>
            <w:r w:rsidR="00512060">
              <w:t>/</w:t>
            </w:r>
            <w:r>
              <w:t>25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0053951" w14:textId="77777777" w:rsidR="00041660" w:rsidRDefault="00041660" w:rsidP="00966C3A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1374C2AD" w14:textId="77777777" w:rsidR="00041660" w:rsidRDefault="00041660" w:rsidP="00966C3A"/>
        </w:tc>
      </w:tr>
    </w:tbl>
    <w:p w14:paraId="40E22FE7" w14:textId="77777777" w:rsidR="00041660" w:rsidRDefault="00041660"/>
    <w:sectPr w:rsidR="00041660" w:rsidSect="0085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EDA"/>
    <w:multiLevelType w:val="hybridMultilevel"/>
    <w:tmpl w:val="09C4FDBA"/>
    <w:lvl w:ilvl="0" w:tplc="56EE47F8">
      <w:start w:val="1"/>
      <w:numFmt w:val="upperLetter"/>
      <w:pStyle w:val="AlphaBulle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4690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AB0047"/>
    <w:multiLevelType w:val="multilevel"/>
    <w:tmpl w:val="EC3415AE"/>
    <w:lvl w:ilvl="0">
      <w:start w:val="1"/>
      <w:numFmt w:val="decimal"/>
      <w:pStyle w:val="Heading1"/>
      <w:lvlText w:val="%1"/>
      <w:lvlJc w:val="left"/>
      <w:pPr>
        <w:ind w:left="31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69F0928"/>
    <w:multiLevelType w:val="multilevel"/>
    <w:tmpl w:val="4C281E8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C104103"/>
    <w:multiLevelType w:val="singleLevel"/>
    <w:tmpl w:val="768C3984"/>
    <w:lvl w:ilvl="0">
      <w:start w:val="1"/>
      <w:numFmt w:val="decimal"/>
      <w:pStyle w:val="NumberedPoin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5D5C6CBB"/>
    <w:multiLevelType w:val="hybridMultilevel"/>
    <w:tmpl w:val="11F89606"/>
    <w:lvl w:ilvl="0" w:tplc="67E2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F380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395340">
    <w:abstractNumId w:val="2"/>
  </w:num>
  <w:num w:numId="2" w16cid:durableId="1950047413">
    <w:abstractNumId w:val="1"/>
  </w:num>
  <w:num w:numId="3" w16cid:durableId="500894176">
    <w:abstractNumId w:val="0"/>
  </w:num>
  <w:num w:numId="4" w16cid:durableId="1399129538">
    <w:abstractNumId w:val="4"/>
  </w:num>
  <w:num w:numId="5" w16cid:durableId="1040017068">
    <w:abstractNumId w:val="6"/>
  </w:num>
  <w:num w:numId="6" w16cid:durableId="365719423">
    <w:abstractNumId w:val="5"/>
  </w:num>
  <w:num w:numId="7" w16cid:durableId="106529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C6"/>
    <w:rsid w:val="00041660"/>
    <w:rsid w:val="00214CFD"/>
    <w:rsid w:val="002C76D1"/>
    <w:rsid w:val="002D4D15"/>
    <w:rsid w:val="00393E02"/>
    <w:rsid w:val="003D47D9"/>
    <w:rsid w:val="00512060"/>
    <w:rsid w:val="006E2EC6"/>
    <w:rsid w:val="00852955"/>
    <w:rsid w:val="008C52CF"/>
    <w:rsid w:val="008D010F"/>
    <w:rsid w:val="00990A7C"/>
    <w:rsid w:val="00A813B0"/>
    <w:rsid w:val="00AD1DCF"/>
    <w:rsid w:val="00C419CA"/>
    <w:rsid w:val="00CD6798"/>
    <w:rsid w:val="00D32EFC"/>
    <w:rsid w:val="00D33A04"/>
    <w:rsid w:val="00D81784"/>
    <w:rsid w:val="00DB3759"/>
    <w:rsid w:val="00EA418F"/>
    <w:rsid w:val="00F0672B"/>
    <w:rsid w:val="00FB6831"/>
    <w:rsid w:val="00FD7346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7727"/>
  <w15:docId w15:val="{83411134-B7D6-47E6-8E4E-BD78ED11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C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basedOn w:val="Normal"/>
    <w:next w:val="BodyText"/>
    <w:link w:val="Heading1Char"/>
    <w:autoRedefine/>
    <w:qFormat/>
    <w:rsid w:val="006E2EC6"/>
    <w:pPr>
      <w:keepNext/>
      <w:numPr>
        <w:numId w:val="1"/>
      </w:numPr>
      <w:spacing w:beforeLines="2000" w:after="120" w:line="240" w:lineRule="atLeast"/>
      <w:ind w:left="720" w:hanging="720"/>
      <w:outlineLvl w:val="0"/>
    </w:pPr>
    <w:rPr>
      <w:rFonts w:ascii="Arial Bold" w:hAnsi="Arial Bold" w:cs="Arial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autoRedefine/>
    <w:qFormat/>
    <w:rsid w:val="006E2EC6"/>
    <w:pPr>
      <w:keepNext/>
      <w:numPr>
        <w:ilvl w:val="1"/>
        <w:numId w:val="1"/>
      </w:numPr>
      <w:spacing w:before="360" w:after="120"/>
      <w:outlineLvl w:val="1"/>
    </w:pPr>
    <w:rPr>
      <w:rFonts w:ascii="Arial Bold" w:hAnsi="Arial Bold" w:cs="Arial"/>
      <w:b/>
      <w:bCs/>
      <w:iCs/>
      <w:sz w:val="32"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8D010F"/>
    <w:pPr>
      <w:keepNext/>
      <w:numPr>
        <w:ilvl w:val="2"/>
        <w:numId w:val="7"/>
      </w:numPr>
      <w:ind w:hanging="1481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6E2EC6"/>
    <w:pPr>
      <w:keepNext/>
      <w:numPr>
        <w:ilvl w:val="3"/>
        <w:numId w:val="1"/>
      </w:numPr>
      <w:spacing w:before="360" w:after="120" w:line="240" w:lineRule="atLeast"/>
      <w:outlineLvl w:val="3"/>
    </w:pPr>
    <w:rPr>
      <w:rFonts w:ascii="Arial Bold" w:hAnsi="Arial Bold"/>
      <w:b/>
      <w:bCs/>
      <w:sz w:val="16"/>
      <w:szCs w:val="28"/>
    </w:rPr>
  </w:style>
  <w:style w:type="paragraph" w:styleId="Heading5">
    <w:name w:val="heading 5"/>
    <w:basedOn w:val="Normal"/>
    <w:next w:val="BodyText"/>
    <w:link w:val="Heading5Char"/>
    <w:qFormat/>
    <w:rsid w:val="006E2EC6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E2EC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E2EC6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E2EC6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E2EC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EC6"/>
    <w:rPr>
      <w:rFonts w:ascii="Arial Bold" w:eastAsia="Times New Roman" w:hAnsi="Arial Bold" w:cs="Arial"/>
      <w:b/>
      <w:bCs/>
      <w:kern w:val="32"/>
      <w:sz w:val="36"/>
      <w:szCs w:val="36"/>
      <w:lang w:val="en-CA"/>
    </w:rPr>
  </w:style>
  <w:style w:type="character" w:customStyle="1" w:styleId="Heading2Char">
    <w:name w:val="Heading 2 Char"/>
    <w:basedOn w:val="DefaultParagraphFont"/>
    <w:link w:val="Heading2"/>
    <w:rsid w:val="006E2EC6"/>
    <w:rPr>
      <w:rFonts w:ascii="Arial Bold" w:eastAsia="Times New Roman" w:hAnsi="Arial Bold" w:cs="Arial"/>
      <w:b/>
      <w:bCs/>
      <w:iCs/>
      <w:sz w:val="32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D010F"/>
    <w:rPr>
      <w:rFonts w:ascii="Arial Bold" w:eastAsia="Times New Roman" w:hAnsi="Arial Bold" w:cs="Arial"/>
      <w:b/>
      <w:bCs/>
      <w:sz w:val="28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rsid w:val="006E2EC6"/>
    <w:rPr>
      <w:rFonts w:ascii="Arial Bold" w:eastAsia="Times New Roman" w:hAnsi="Arial Bold" w:cs="Times New Roman"/>
      <w:b/>
      <w:bCs/>
      <w:sz w:val="16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rsid w:val="006E2EC6"/>
    <w:rPr>
      <w:rFonts w:ascii="Arial" w:eastAsia="Times New Roman" w:hAnsi="Arial" w:cs="Times New Roman"/>
      <w:b/>
      <w:bCs/>
      <w:i/>
      <w:iCs/>
      <w:sz w:val="20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6E2EC6"/>
    <w:rPr>
      <w:rFonts w:ascii="Arial" w:eastAsia="Times New Roman" w:hAnsi="Arial" w:cs="Times New Roman"/>
      <w:b/>
      <w:bCs/>
      <w:sz w:val="20"/>
      <w:lang w:val="en-CA"/>
    </w:rPr>
  </w:style>
  <w:style w:type="character" w:customStyle="1" w:styleId="Heading7Char">
    <w:name w:val="Heading 7 Char"/>
    <w:basedOn w:val="DefaultParagraphFont"/>
    <w:link w:val="Heading7"/>
    <w:rsid w:val="006E2EC6"/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6E2EC6"/>
    <w:rPr>
      <w:rFonts w:ascii="Arial" w:eastAsia="Times New Roman" w:hAnsi="Arial" w:cs="Times New Roman"/>
      <w:i/>
      <w:iCs/>
      <w:sz w:val="24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6E2EC6"/>
    <w:rPr>
      <w:rFonts w:ascii="Arial" w:eastAsia="Times New Roman" w:hAnsi="Arial" w:cs="Arial"/>
      <w:sz w:val="20"/>
      <w:lang w:val="en-CA"/>
    </w:rPr>
  </w:style>
  <w:style w:type="paragraph" w:styleId="BodyText">
    <w:name w:val="Body Text"/>
    <w:basedOn w:val="Normal"/>
    <w:link w:val="BodyTextChar"/>
    <w:qFormat/>
    <w:rsid w:val="006E2EC6"/>
    <w:pPr>
      <w:spacing w:after="120" w:line="240" w:lineRule="atLeast"/>
    </w:pPr>
  </w:style>
  <w:style w:type="character" w:customStyle="1" w:styleId="BodyTextChar">
    <w:name w:val="Body Text Char"/>
    <w:basedOn w:val="DefaultParagraphFont"/>
    <w:link w:val="BodyText"/>
    <w:rsid w:val="006E2EC6"/>
    <w:rPr>
      <w:rFonts w:ascii="Arial" w:eastAsia="Times New Roman" w:hAnsi="Arial" w:cs="Times New Roman"/>
      <w:sz w:val="20"/>
      <w:szCs w:val="20"/>
      <w:lang w:val="en-CA"/>
    </w:rPr>
  </w:style>
  <w:style w:type="table" w:styleId="TableGrid">
    <w:name w:val="Table Grid"/>
    <w:basedOn w:val="TableNormal"/>
    <w:rsid w:val="006E2EC6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phaBullet">
    <w:name w:val="AlphaBullet"/>
    <w:basedOn w:val="BodyText"/>
    <w:rsid w:val="008D010F"/>
    <w:pPr>
      <w:numPr>
        <w:numId w:val="3"/>
      </w:numPr>
    </w:pPr>
  </w:style>
  <w:style w:type="paragraph" w:customStyle="1" w:styleId="NumberedPoint">
    <w:name w:val="Numbered Point"/>
    <w:basedOn w:val="Normal"/>
    <w:link w:val="NumberedPointCharChar"/>
    <w:uiPriority w:val="99"/>
    <w:rsid w:val="008D010F"/>
    <w:pPr>
      <w:numPr>
        <w:numId w:val="4"/>
      </w:numPr>
      <w:spacing w:after="120"/>
    </w:pPr>
  </w:style>
  <w:style w:type="character" w:customStyle="1" w:styleId="NumberedPointCharChar">
    <w:name w:val="Numbered Point Char Char"/>
    <w:basedOn w:val="DefaultParagraphFont"/>
    <w:link w:val="NumberedPoint"/>
    <w:uiPriority w:val="99"/>
    <w:rsid w:val="008D010F"/>
    <w:rPr>
      <w:rFonts w:ascii="Arial" w:eastAsia="Times New Roman" w:hAnsi="Arial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C7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6D1"/>
  </w:style>
  <w:style w:type="character" w:customStyle="1" w:styleId="CommentTextChar">
    <w:name w:val="Comment Text Char"/>
    <w:basedOn w:val="DefaultParagraphFont"/>
    <w:link w:val="CommentText"/>
    <w:uiPriority w:val="99"/>
    <w:rsid w:val="002C76D1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6D1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6D1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rsid w:val="00041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1660"/>
    <w:rPr>
      <w:rFonts w:ascii="Arial" w:eastAsia="Times New Roman" w:hAnsi="Arial" w:cs="Times New Roman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FD73D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Huron-Perth CAS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Simpson</dc:creator>
  <cp:lastModifiedBy>Angela Simpson</cp:lastModifiedBy>
  <cp:revision>11</cp:revision>
  <dcterms:created xsi:type="dcterms:W3CDTF">2019-03-21T20:37:00Z</dcterms:created>
  <dcterms:modified xsi:type="dcterms:W3CDTF">2025-07-17T18:08:00Z</dcterms:modified>
</cp:coreProperties>
</file>